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CF" w:rsidRDefault="004D4422" w:rsidP="00A301C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1310640" cy="1593540"/>
            <wp:effectExtent l="0" t="0" r="381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ghtingale School Logo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59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1CF" w:rsidRDefault="00A301CF" w:rsidP="00A301CF">
      <w:pPr>
        <w:rPr>
          <w:b/>
        </w:rPr>
      </w:pPr>
    </w:p>
    <w:p w:rsidR="00A301CF" w:rsidRDefault="00A301CF" w:rsidP="00A301CF">
      <w:pPr>
        <w:rPr>
          <w:b/>
        </w:rPr>
      </w:pPr>
    </w:p>
    <w:p w:rsidR="00A301CF" w:rsidRPr="00A301CF" w:rsidRDefault="00A301CF" w:rsidP="00A301CF">
      <w:pPr>
        <w:rPr>
          <w:b/>
        </w:rPr>
      </w:pPr>
    </w:p>
    <w:p w:rsidR="00A301CF" w:rsidRDefault="00A301CF"/>
    <w:p w:rsidR="00A301CF" w:rsidRDefault="00A301CF"/>
    <w:tbl>
      <w:tblPr>
        <w:tblStyle w:val="TableGrid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3006"/>
      </w:tblGrid>
      <w:tr w:rsidR="004D4422" w:rsidTr="004D4422">
        <w:tc>
          <w:tcPr>
            <w:tcW w:w="3006" w:type="dxa"/>
          </w:tcPr>
          <w:p w:rsidR="004D4422" w:rsidRDefault="004D4422" w:rsidP="004D4422">
            <w:pPr>
              <w:rPr>
                <w:b/>
              </w:rPr>
            </w:pPr>
            <w:r>
              <w:rPr>
                <w:b/>
              </w:rPr>
              <w:t xml:space="preserve">Purpose </w:t>
            </w:r>
          </w:p>
        </w:tc>
      </w:tr>
      <w:tr w:rsidR="004D4422" w:rsidTr="004D4422">
        <w:tc>
          <w:tcPr>
            <w:tcW w:w="3006" w:type="dxa"/>
          </w:tcPr>
          <w:p w:rsidR="004D4422" w:rsidRPr="009C1B30" w:rsidRDefault="009C1B30" w:rsidP="004D4422">
            <w:pPr>
              <w:rPr>
                <w:b/>
                <w:sz w:val="20"/>
                <w:szCs w:val="20"/>
              </w:rPr>
            </w:pPr>
            <w:r w:rsidRPr="009C1B30">
              <w:rPr>
                <w:sz w:val="20"/>
                <w:szCs w:val="20"/>
              </w:rPr>
              <w:t xml:space="preserve">We empower our community today to create brilliant citizens </w:t>
            </w:r>
            <w:r w:rsidR="002D6AA7">
              <w:rPr>
                <w:sz w:val="20"/>
                <w:szCs w:val="20"/>
              </w:rPr>
              <w:t>for</w:t>
            </w:r>
            <w:r w:rsidRPr="009C1B30">
              <w:rPr>
                <w:sz w:val="20"/>
                <w:szCs w:val="20"/>
              </w:rPr>
              <w:t xml:space="preserve"> the world tomorrow. </w:t>
            </w:r>
          </w:p>
        </w:tc>
      </w:tr>
    </w:tbl>
    <w:p w:rsidR="00A301CF" w:rsidRDefault="00A301CF"/>
    <w:tbl>
      <w:tblPr>
        <w:tblStyle w:val="TableGrid"/>
        <w:tblpPr w:leftFromText="180" w:rightFromText="180" w:vertAnchor="page" w:horzAnchor="margin" w:tblpY="5125"/>
        <w:tblW w:w="0" w:type="auto"/>
        <w:tblLook w:val="04A0" w:firstRow="1" w:lastRow="0" w:firstColumn="1" w:lastColumn="0" w:noHBand="0" w:noVBand="1"/>
      </w:tblPr>
      <w:tblGrid>
        <w:gridCol w:w="3006"/>
      </w:tblGrid>
      <w:tr w:rsidR="004D4422" w:rsidTr="004D4422">
        <w:tc>
          <w:tcPr>
            <w:tcW w:w="3006" w:type="dxa"/>
          </w:tcPr>
          <w:p w:rsidR="004D4422" w:rsidRDefault="004D4422" w:rsidP="004D4422">
            <w:pPr>
              <w:rPr>
                <w:b/>
              </w:rPr>
            </w:pPr>
            <w:r>
              <w:rPr>
                <w:b/>
              </w:rPr>
              <w:t xml:space="preserve">Guiding Principles: </w:t>
            </w:r>
          </w:p>
        </w:tc>
      </w:tr>
      <w:tr w:rsidR="004D4422" w:rsidTr="004D4422">
        <w:tc>
          <w:tcPr>
            <w:tcW w:w="3006" w:type="dxa"/>
          </w:tcPr>
          <w:p w:rsidR="004D4422" w:rsidRDefault="009C1B30" w:rsidP="00A41C9F">
            <w:pPr>
              <w:pStyle w:val="ListParagraph"/>
              <w:numPr>
                <w:ilvl w:val="0"/>
                <w:numId w:val="2"/>
              </w:numPr>
            </w:pPr>
            <w:r w:rsidRPr="009C1B30">
              <w:rPr>
                <w:i/>
              </w:rPr>
              <w:t>Inspirational Teaching</w:t>
            </w:r>
            <w:r w:rsidR="004D4422" w:rsidRPr="00A301CF">
              <w:t xml:space="preserve"> </w:t>
            </w:r>
            <w:r w:rsidR="004D4422">
              <w:t>–</w:t>
            </w:r>
            <w:r w:rsidR="004D4422" w:rsidRPr="00A301CF">
              <w:t xml:space="preserve"> </w:t>
            </w:r>
            <w:r w:rsidR="00A41C9F">
              <w:t>Creating e</w:t>
            </w:r>
            <w:r w:rsidR="004D4422">
              <w:t>xceptional learning experiences for every child</w:t>
            </w:r>
            <w:r>
              <w:t xml:space="preserve">, every day </w:t>
            </w:r>
          </w:p>
          <w:p w:rsidR="004D4422" w:rsidRPr="00A301CF" w:rsidRDefault="004D4422" w:rsidP="004D4422">
            <w:pPr>
              <w:pStyle w:val="ListParagraph"/>
            </w:pPr>
          </w:p>
          <w:p w:rsidR="004D4422" w:rsidRDefault="004D4422" w:rsidP="004D4422">
            <w:pPr>
              <w:pStyle w:val="ListParagraph"/>
              <w:numPr>
                <w:ilvl w:val="0"/>
                <w:numId w:val="2"/>
              </w:numPr>
            </w:pPr>
            <w:r w:rsidRPr="00A301CF">
              <w:rPr>
                <w:i/>
              </w:rPr>
              <w:t>No One Left Behind</w:t>
            </w:r>
            <w:r w:rsidRPr="00A301CF">
              <w:t>- Be</w:t>
            </w:r>
            <w:r w:rsidR="00A41C9F">
              <w:t>ing</w:t>
            </w:r>
            <w:r w:rsidRPr="00A301CF">
              <w:t xml:space="preserve"> flexible in our approach and never giv</w:t>
            </w:r>
            <w:r w:rsidR="00A41C9F">
              <w:t>ing</w:t>
            </w:r>
            <w:r w:rsidRPr="00A301CF">
              <w:t xml:space="preserve"> up</w:t>
            </w:r>
          </w:p>
          <w:p w:rsidR="00A41C9F" w:rsidRDefault="00A41C9F" w:rsidP="00A41C9F">
            <w:pPr>
              <w:pStyle w:val="ListParagraph"/>
            </w:pPr>
          </w:p>
          <w:p w:rsidR="00A41C9F" w:rsidRDefault="00A41C9F" w:rsidP="00A41C9F">
            <w:pPr>
              <w:pStyle w:val="ListParagraph"/>
              <w:numPr>
                <w:ilvl w:val="0"/>
                <w:numId w:val="2"/>
              </w:numPr>
            </w:pPr>
            <w:r w:rsidRPr="00A301CF">
              <w:rPr>
                <w:i/>
              </w:rPr>
              <w:t>Create the Safe Space</w:t>
            </w:r>
            <w:r w:rsidRPr="00A301CF">
              <w:t xml:space="preserve"> - Listen</w:t>
            </w:r>
            <w:r>
              <w:t>ing</w:t>
            </w:r>
            <w:r w:rsidRPr="00A301CF">
              <w:t xml:space="preserve"> with patience and understanding</w:t>
            </w:r>
            <w:r>
              <w:t xml:space="preserve">, </w:t>
            </w:r>
            <w:r w:rsidRPr="00A301CF">
              <w:t>build</w:t>
            </w:r>
            <w:r>
              <w:t>ing</w:t>
            </w:r>
            <w:r w:rsidRPr="00A301CF">
              <w:t xml:space="preserve"> supportive    </w:t>
            </w:r>
            <w:r>
              <w:t xml:space="preserve">      </w:t>
            </w:r>
            <w:r w:rsidRPr="00A301CF">
              <w:t>relationships</w:t>
            </w:r>
          </w:p>
          <w:p w:rsidR="004D4422" w:rsidRPr="00A301CF" w:rsidRDefault="004D4422" w:rsidP="004D4422">
            <w:pPr>
              <w:pStyle w:val="ListParagraph"/>
            </w:pPr>
          </w:p>
          <w:p w:rsidR="004D4422" w:rsidRDefault="009C1B30" w:rsidP="004D4422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>Innovating Together</w:t>
            </w:r>
            <w:r w:rsidR="004D4422" w:rsidRPr="00A301CF">
              <w:t>– Never standing still, always looking to improve</w:t>
            </w:r>
            <w:r w:rsidR="004D4422">
              <w:t>, willingly accepting help and guidance from our strategic partners</w:t>
            </w:r>
          </w:p>
          <w:p w:rsidR="004D4422" w:rsidRPr="00A301CF" w:rsidRDefault="004D4422" w:rsidP="00586BB8"/>
          <w:p w:rsidR="004D4422" w:rsidRDefault="009C1B30" w:rsidP="004D4422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>Lead by Example</w:t>
            </w:r>
            <w:r w:rsidR="004D4422" w:rsidRPr="00A301CF">
              <w:t xml:space="preserve"> – Community, Inclusion and Respect at the heart of all we do  </w:t>
            </w:r>
          </w:p>
          <w:p w:rsidR="004D4422" w:rsidRDefault="004D4422" w:rsidP="004D4422">
            <w:pPr>
              <w:rPr>
                <w:b/>
              </w:rPr>
            </w:pPr>
          </w:p>
        </w:tc>
      </w:tr>
    </w:tbl>
    <w:p w:rsidR="00A301CF" w:rsidRDefault="00A301CF"/>
    <w:p w:rsidR="00A301CF" w:rsidRDefault="00A301CF"/>
    <w:p w:rsidR="00A301CF" w:rsidRDefault="00A301CF"/>
    <w:p w:rsidR="00A301CF" w:rsidRDefault="00A301CF"/>
    <w:p w:rsidR="00A301CF" w:rsidRDefault="00A301CF"/>
    <w:p w:rsidR="00A301CF" w:rsidRDefault="00A301CF"/>
    <w:tbl>
      <w:tblPr>
        <w:tblStyle w:val="TableGrid"/>
        <w:tblpPr w:leftFromText="180" w:rightFromText="180" w:vertAnchor="text" w:horzAnchor="margin" w:tblpXSpec="center" w:tblpY="97"/>
        <w:tblW w:w="3143" w:type="dxa"/>
        <w:tblLook w:val="04A0" w:firstRow="1" w:lastRow="0" w:firstColumn="1" w:lastColumn="0" w:noHBand="0" w:noVBand="1"/>
      </w:tblPr>
      <w:tblGrid>
        <w:gridCol w:w="3143"/>
      </w:tblGrid>
      <w:tr w:rsidR="004D4422" w:rsidTr="0041279E">
        <w:trPr>
          <w:trHeight w:val="165"/>
        </w:trPr>
        <w:tc>
          <w:tcPr>
            <w:tcW w:w="3143" w:type="dxa"/>
          </w:tcPr>
          <w:p w:rsidR="004D4422" w:rsidRPr="00B714B2" w:rsidRDefault="004D4422" w:rsidP="004D4422">
            <w:pPr>
              <w:rPr>
                <w:b/>
              </w:rPr>
            </w:pPr>
            <w:r w:rsidRPr="00B714B2">
              <w:rPr>
                <w:b/>
              </w:rPr>
              <w:t>Strategic Priorities 202</w:t>
            </w:r>
            <w:r w:rsidR="003C2190">
              <w:rPr>
                <w:b/>
              </w:rPr>
              <w:t>1-22</w:t>
            </w:r>
          </w:p>
        </w:tc>
      </w:tr>
      <w:tr w:rsidR="004D4422" w:rsidTr="0041279E">
        <w:trPr>
          <w:trHeight w:val="6325"/>
        </w:trPr>
        <w:tc>
          <w:tcPr>
            <w:tcW w:w="3143" w:type="dxa"/>
          </w:tcPr>
          <w:p w:rsidR="004D4422" w:rsidRPr="0041279E" w:rsidRDefault="004D4422" w:rsidP="004D4422">
            <w:pPr>
              <w:rPr>
                <w:sz w:val="18"/>
                <w:szCs w:val="18"/>
              </w:rPr>
            </w:pPr>
            <w:r>
              <w:t xml:space="preserve">GET ONLINE – </w:t>
            </w:r>
            <w:r w:rsidRPr="0041279E">
              <w:rPr>
                <w:sz w:val="18"/>
                <w:szCs w:val="18"/>
              </w:rPr>
              <w:t xml:space="preserve">Support the learning of all pupils by engaging children and their families using online resources to communicate, teach and collaborate. </w:t>
            </w:r>
          </w:p>
          <w:p w:rsidR="004D4422" w:rsidRDefault="004D4422" w:rsidP="004D4422"/>
          <w:p w:rsidR="003C2190" w:rsidRDefault="004D4422" w:rsidP="004D4422">
            <w:r>
              <w:t xml:space="preserve">POLISH OUR PEDAGOGY </w:t>
            </w:r>
            <w:r w:rsidR="003C2190">
              <w:t xml:space="preserve">– MATHS FOCUS </w:t>
            </w:r>
          </w:p>
          <w:p w:rsidR="004D4422" w:rsidRDefault="00607AC5" w:rsidP="004D4422">
            <w:r>
              <w:rPr>
                <w:sz w:val="18"/>
                <w:szCs w:val="18"/>
              </w:rPr>
              <w:t xml:space="preserve">Ensure, through effective CPD and work with strategic partners, that Maths teaching across the school is highly effective and follows closely the Mathematics Mastery scheme of work and methodology.  </w:t>
            </w:r>
          </w:p>
          <w:p w:rsidR="004D4422" w:rsidRDefault="004D4422" w:rsidP="004D4422"/>
          <w:p w:rsidR="004D4422" w:rsidRDefault="009C1B30" w:rsidP="004D4422">
            <w:r>
              <w:t>TURBO-CHARGED PROGRESS</w:t>
            </w:r>
            <w:r w:rsidR="004D4422">
              <w:t xml:space="preserve"> </w:t>
            </w:r>
            <w:r w:rsidR="003C2190">
              <w:rPr>
                <w:sz w:val="18"/>
                <w:szCs w:val="18"/>
              </w:rPr>
              <w:t>Ensure through the effective use of assessment</w:t>
            </w:r>
            <w:r w:rsidR="009A24D4">
              <w:rPr>
                <w:sz w:val="18"/>
                <w:szCs w:val="18"/>
              </w:rPr>
              <w:t xml:space="preserve"> and responsive teaching</w:t>
            </w:r>
            <w:r w:rsidR="003C2190">
              <w:rPr>
                <w:sz w:val="18"/>
                <w:szCs w:val="18"/>
              </w:rPr>
              <w:t xml:space="preserve"> in all Key Stages that gaps in children’s learning are identified and addressed</w:t>
            </w:r>
            <w:r w:rsidR="00607AC5">
              <w:rPr>
                <w:sz w:val="18"/>
                <w:szCs w:val="18"/>
              </w:rPr>
              <w:t xml:space="preserve"> through quality first teaching and the use of tutoring.  </w:t>
            </w:r>
          </w:p>
          <w:p w:rsidR="004D4422" w:rsidRDefault="004D4422" w:rsidP="004D4422"/>
          <w:p w:rsidR="004D4422" w:rsidRDefault="003C2190" w:rsidP="004D4422">
            <w:r>
              <w:t xml:space="preserve">PROGRESSION IN THE HUMANITIES CURRICULUM </w:t>
            </w:r>
          </w:p>
          <w:p w:rsidR="003C2190" w:rsidRPr="003C2190" w:rsidRDefault="003C2190" w:rsidP="004D4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 in place effective planning for humanities subjects</w:t>
            </w:r>
            <w:r w:rsidR="00607AC5">
              <w:rPr>
                <w:sz w:val="18"/>
                <w:szCs w:val="18"/>
              </w:rPr>
              <w:t xml:space="preserve"> so that children’s learning </w:t>
            </w:r>
            <w:r>
              <w:rPr>
                <w:sz w:val="18"/>
                <w:szCs w:val="18"/>
              </w:rPr>
              <w:t>evidences progression</w:t>
            </w:r>
            <w:r w:rsidR="00607AC5">
              <w:rPr>
                <w:sz w:val="18"/>
                <w:szCs w:val="18"/>
              </w:rPr>
              <w:t xml:space="preserve"> in skills and knowledge.  </w:t>
            </w:r>
          </w:p>
        </w:tc>
      </w:tr>
    </w:tbl>
    <w:p w:rsidR="00A301CF" w:rsidRDefault="00A301CF"/>
    <w:tbl>
      <w:tblPr>
        <w:tblStyle w:val="TableGrid"/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3006"/>
      </w:tblGrid>
      <w:tr w:rsidR="004D4422" w:rsidTr="004D4422">
        <w:tc>
          <w:tcPr>
            <w:tcW w:w="3006" w:type="dxa"/>
          </w:tcPr>
          <w:p w:rsidR="004D4422" w:rsidRPr="00D732D8" w:rsidRDefault="004D4422" w:rsidP="004D4422">
            <w:pPr>
              <w:rPr>
                <w:b/>
              </w:rPr>
            </w:pPr>
            <w:r w:rsidRPr="00D732D8">
              <w:rPr>
                <w:b/>
              </w:rPr>
              <w:t xml:space="preserve">3 Year Goal </w:t>
            </w:r>
          </w:p>
        </w:tc>
      </w:tr>
      <w:tr w:rsidR="004D4422" w:rsidTr="004D4422">
        <w:tc>
          <w:tcPr>
            <w:tcW w:w="3006" w:type="dxa"/>
          </w:tcPr>
          <w:p w:rsidR="004D4422" w:rsidRDefault="004D4422" w:rsidP="004D4422">
            <w:r w:rsidRPr="00D732D8">
              <w:t xml:space="preserve">To be the most popular school in Hackney* thanks to our happy children, outstanding curriculum and high academic </w:t>
            </w:r>
            <w:r>
              <w:t>achievement</w:t>
            </w:r>
            <w:r w:rsidRPr="00D732D8">
              <w:t xml:space="preserve">.      </w:t>
            </w:r>
          </w:p>
          <w:p w:rsidR="004D4422" w:rsidRPr="00D732D8" w:rsidRDefault="004D4422" w:rsidP="004D4422"/>
          <w:p w:rsidR="004D4422" w:rsidRPr="00D732D8" w:rsidRDefault="004D4422" w:rsidP="004D4422">
            <w:r w:rsidRPr="00D732D8">
              <w:t xml:space="preserve">*measured on First Choice Applicants to Reception </w:t>
            </w:r>
          </w:p>
          <w:p w:rsidR="004D4422" w:rsidRDefault="004D4422" w:rsidP="004D4422"/>
        </w:tc>
      </w:tr>
    </w:tbl>
    <w:p w:rsidR="00A301CF" w:rsidRDefault="00A301CF"/>
    <w:tbl>
      <w:tblPr>
        <w:tblStyle w:val="TableGrid"/>
        <w:tblW w:w="3054" w:type="dxa"/>
        <w:tblLook w:val="04A0" w:firstRow="1" w:lastRow="0" w:firstColumn="1" w:lastColumn="0" w:noHBand="0" w:noVBand="1"/>
      </w:tblPr>
      <w:tblGrid>
        <w:gridCol w:w="3054"/>
      </w:tblGrid>
      <w:tr w:rsidR="0041279E" w:rsidRPr="000F693D" w:rsidTr="005939D4">
        <w:trPr>
          <w:trHeight w:val="366"/>
        </w:trPr>
        <w:tc>
          <w:tcPr>
            <w:tcW w:w="3054" w:type="dxa"/>
          </w:tcPr>
          <w:p w:rsidR="0041279E" w:rsidRPr="00497303" w:rsidRDefault="0041279E" w:rsidP="002777A8">
            <w:pPr>
              <w:rPr>
                <w:b/>
              </w:rPr>
            </w:pPr>
            <w:r w:rsidRPr="00497303">
              <w:rPr>
                <w:b/>
              </w:rPr>
              <w:t xml:space="preserve">Critical Number </w:t>
            </w:r>
            <w:r w:rsidR="00DE5340">
              <w:rPr>
                <w:b/>
              </w:rPr>
              <w:t>(</w:t>
            </w:r>
            <w:r w:rsidR="00EB4034">
              <w:rPr>
                <w:b/>
              </w:rPr>
              <w:t xml:space="preserve">Spring Term) </w:t>
            </w:r>
          </w:p>
        </w:tc>
      </w:tr>
      <w:tr w:rsidR="0041279E" w:rsidRPr="000F693D" w:rsidTr="005939D4">
        <w:trPr>
          <w:trHeight w:val="1898"/>
        </w:trPr>
        <w:tc>
          <w:tcPr>
            <w:tcW w:w="3054" w:type="dxa"/>
          </w:tcPr>
          <w:p w:rsidR="0041279E" w:rsidRDefault="0041279E" w:rsidP="002777A8">
            <w:pPr>
              <w:rPr>
                <w:sz w:val="20"/>
                <w:szCs w:val="20"/>
              </w:rPr>
            </w:pPr>
            <w:r w:rsidRPr="00586BB8">
              <w:rPr>
                <w:sz w:val="20"/>
                <w:szCs w:val="20"/>
              </w:rPr>
              <w:t xml:space="preserve">% of children </w:t>
            </w:r>
            <w:r w:rsidR="00CA68CB">
              <w:rPr>
                <w:sz w:val="20"/>
                <w:szCs w:val="20"/>
              </w:rPr>
              <w:t xml:space="preserve">reaching AREs </w:t>
            </w:r>
            <w:r w:rsidR="002B060E">
              <w:rPr>
                <w:sz w:val="20"/>
                <w:szCs w:val="20"/>
              </w:rPr>
              <w:t>in</w:t>
            </w:r>
            <w:r w:rsidR="0078726E">
              <w:rPr>
                <w:sz w:val="20"/>
                <w:szCs w:val="20"/>
              </w:rPr>
              <w:t xml:space="preserve"> Reading, Writing and Maths</w:t>
            </w:r>
            <w:r w:rsidR="005200FF">
              <w:rPr>
                <w:sz w:val="20"/>
                <w:szCs w:val="20"/>
              </w:rPr>
              <w:t xml:space="preserve"> in Years 1-6</w:t>
            </w:r>
            <w:r w:rsidR="00C74EFF">
              <w:rPr>
                <w:sz w:val="20"/>
                <w:szCs w:val="20"/>
              </w:rPr>
              <w:t xml:space="preserve"> by Summer </w:t>
            </w:r>
            <w:proofErr w:type="gramStart"/>
            <w:r w:rsidR="00C74EFF">
              <w:rPr>
                <w:sz w:val="20"/>
                <w:szCs w:val="20"/>
              </w:rPr>
              <w:t>2</w:t>
            </w:r>
            <w:r w:rsidR="005200FF">
              <w:rPr>
                <w:sz w:val="20"/>
                <w:szCs w:val="20"/>
              </w:rPr>
              <w:t xml:space="preserve"> </w:t>
            </w:r>
            <w:r w:rsidR="002E356A">
              <w:rPr>
                <w:sz w:val="20"/>
                <w:szCs w:val="20"/>
              </w:rPr>
              <w:t>:</w:t>
            </w:r>
            <w:proofErr w:type="gramEnd"/>
            <w:r w:rsidR="002E356A">
              <w:rPr>
                <w:sz w:val="20"/>
                <w:szCs w:val="20"/>
              </w:rPr>
              <w:t xml:space="preserve"> </w:t>
            </w:r>
          </w:p>
          <w:p w:rsidR="004017A3" w:rsidRPr="00586BB8" w:rsidRDefault="004017A3" w:rsidP="0027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End of Year Target – Combined 62%</w:t>
            </w:r>
          </w:p>
          <w:p w:rsidR="005939D4" w:rsidRDefault="005939D4" w:rsidP="002777A8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1099"/>
            </w:tblGrid>
            <w:tr w:rsidR="004017A3" w:rsidTr="004017A3">
              <w:tc>
                <w:tcPr>
                  <w:tcW w:w="1023" w:type="dxa"/>
                </w:tcPr>
                <w:p w:rsidR="004017A3" w:rsidRPr="005200FF" w:rsidRDefault="004017A3" w:rsidP="002777A8">
                  <w:pPr>
                    <w:rPr>
                      <w:b/>
                      <w:sz w:val="16"/>
                      <w:szCs w:val="16"/>
                    </w:rPr>
                  </w:pPr>
                  <w:r w:rsidRPr="005200FF">
                    <w:rPr>
                      <w:b/>
                      <w:sz w:val="16"/>
                      <w:szCs w:val="16"/>
                    </w:rPr>
                    <w:t xml:space="preserve">Current – end of Autumn Term </w:t>
                  </w:r>
                </w:p>
              </w:tc>
              <w:tc>
                <w:tcPr>
                  <w:tcW w:w="1099" w:type="dxa"/>
                </w:tcPr>
                <w:p w:rsidR="004017A3" w:rsidRDefault="004017A3" w:rsidP="002777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Combined - 44%</w:t>
                  </w:r>
                </w:p>
                <w:p w:rsidR="004017A3" w:rsidRDefault="004017A3" w:rsidP="002777A8">
                  <w:pPr>
                    <w:rPr>
                      <w:sz w:val="16"/>
                      <w:szCs w:val="16"/>
                    </w:rPr>
                  </w:pPr>
                </w:p>
                <w:p w:rsidR="004017A3" w:rsidRDefault="004017A3" w:rsidP="002777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Reading – 64%</w:t>
                  </w:r>
                </w:p>
                <w:p w:rsidR="004017A3" w:rsidRDefault="004017A3" w:rsidP="002777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Writing – 58%</w:t>
                  </w:r>
                </w:p>
                <w:p w:rsidR="004017A3" w:rsidRDefault="004017A3" w:rsidP="002777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Maths - 51% </w:t>
                  </w:r>
                </w:p>
              </w:tc>
            </w:tr>
          </w:tbl>
          <w:p w:rsidR="005939D4" w:rsidRDefault="005939D4" w:rsidP="002777A8">
            <w:pPr>
              <w:rPr>
                <w:sz w:val="16"/>
                <w:szCs w:val="16"/>
              </w:rPr>
            </w:pPr>
          </w:p>
          <w:p w:rsidR="005200FF" w:rsidRDefault="005200FF" w:rsidP="002777A8">
            <w:pPr>
              <w:rPr>
                <w:sz w:val="16"/>
                <w:szCs w:val="16"/>
              </w:rPr>
            </w:pPr>
          </w:p>
          <w:p w:rsidR="005939D4" w:rsidRPr="000F693D" w:rsidRDefault="005939D4" w:rsidP="002777A8">
            <w:pPr>
              <w:rPr>
                <w:sz w:val="16"/>
                <w:szCs w:val="16"/>
              </w:rPr>
            </w:pPr>
          </w:p>
        </w:tc>
      </w:tr>
    </w:tbl>
    <w:p w:rsidR="0041279E" w:rsidRDefault="0041279E"/>
    <w:tbl>
      <w:tblPr>
        <w:tblStyle w:val="TableGrid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006"/>
      </w:tblGrid>
      <w:tr w:rsidR="0041279E" w:rsidTr="0041279E">
        <w:tc>
          <w:tcPr>
            <w:tcW w:w="3006" w:type="dxa"/>
          </w:tcPr>
          <w:p w:rsidR="0041279E" w:rsidRPr="00B714B2" w:rsidRDefault="00EB4034" w:rsidP="0041279E">
            <w:pPr>
              <w:rPr>
                <w:b/>
              </w:rPr>
            </w:pPr>
            <w:r>
              <w:rPr>
                <w:b/>
              </w:rPr>
              <w:t>Spring Term</w:t>
            </w:r>
            <w:r w:rsidR="003C2190">
              <w:rPr>
                <w:b/>
              </w:rPr>
              <w:t xml:space="preserve"> </w:t>
            </w:r>
            <w:r w:rsidR="001F3615">
              <w:rPr>
                <w:b/>
              </w:rPr>
              <w:t xml:space="preserve">Priorities </w:t>
            </w:r>
          </w:p>
        </w:tc>
      </w:tr>
      <w:tr w:rsidR="0041279E" w:rsidTr="0041279E">
        <w:tc>
          <w:tcPr>
            <w:tcW w:w="3006" w:type="dxa"/>
          </w:tcPr>
          <w:p w:rsidR="0041279E" w:rsidRDefault="0041279E" w:rsidP="0041279E">
            <w:pPr>
              <w:rPr>
                <w:b/>
              </w:rPr>
            </w:pPr>
            <w:r w:rsidRPr="00D732D8">
              <w:rPr>
                <w:b/>
              </w:rPr>
              <w:t>EYFS</w:t>
            </w:r>
          </w:p>
          <w:p w:rsidR="0041279E" w:rsidRDefault="00EB4034" w:rsidP="001F3615">
            <w:r>
              <w:t xml:space="preserve">Work with Wentworth Nursery on Action Research project to improve talk and vocabulary acquisition.  </w:t>
            </w:r>
          </w:p>
          <w:p w:rsidR="001F3615" w:rsidRDefault="001F3615" w:rsidP="001F3615"/>
        </w:tc>
      </w:tr>
      <w:tr w:rsidR="0041279E" w:rsidTr="0041279E">
        <w:tc>
          <w:tcPr>
            <w:tcW w:w="3006" w:type="dxa"/>
          </w:tcPr>
          <w:p w:rsidR="0041279E" w:rsidRDefault="0041279E" w:rsidP="0041279E">
            <w:pPr>
              <w:rPr>
                <w:b/>
              </w:rPr>
            </w:pPr>
            <w:r w:rsidRPr="00D732D8">
              <w:rPr>
                <w:b/>
              </w:rPr>
              <w:t>Lower Phase</w:t>
            </w:r>
          </w:p>
          <w:p w:rsidR="001F3615" w:rsidRPr="00CA68CB" w:rsidRDefault="00EB4034" w:rsidP="0041279E">
            <w:r>
              <w:t>Development of History Units to set a clear foundation of skills (Significance and Chronology</w:t>
            </w:r>
            <w:r w:rsidR="00C74EFF">
              <w:t xml:space="preserve"> Units</w:t>
            </w:r>
            <w:r>
              <w:t xml:space="preserve">) </w:t>
            </w:r>
          </w:p>
          <w:p w:rsidR="001F3615" w:rsidRPr="00D732D8" w:rsidRDefault="001F3615" w:rsidP="003B1B69"/>
        </w:tc>
      </w:tr>
      <w:tr w:rsidR="001F3615" w:rsidTr="0041279E">
        <w:tc>
          <w:tcPr>
            <w:tcW w:w="3006" w:type="dxa"/>
          </w:tcPr>
          <w:p w:rsidR="001F3615" w:rsidRDefault="001F3615" w:rsidP="0041279E">
            <w:pPr>
              <w:rPr>
                <w:b/>
              </w:rPr>
            </w:pPr>
            <w:r>
              <w:rPr>
                <w:b/>
              </w:rPr>
              <w:t xml:space="preserve">Middle Phase Year 3 and 4 </w:t>
            </w:r>
          </w:p>
          <w:p w:rsidR="001F3615" w:rsidRDefault="00EB4034" w:rsidP="003B1B69">
            <w:r>
              <w:t>Raising the challenge in humanities lessons (</w:t>
            </w:r>
            <w:r w:rsidR="000B7550">
              <w:t xml:space="preserve">Use of </w:t>
            </w:r>
            <w:r>
              <w:t>Mary Myatt Training and Resources)</w:t>
            </w:r>
          </w:p>
          <w:p w:rsidR="00854B87" w:rsidRPr="00854B87" w:rsidRDefault="00854B87" w:rsidP="003B1B69"/>
        </w:tc>
      </w:tr>
      <w:tr w:rsidR="0041279E" w:rsidTr="0041279E">
        <w:tc>
          <w:tcPr>
            <w:tcW w:w="3006" w:type="dxa"/>
          </w:tcPr>
          <w:p w:rsidR="001F3615" w:rsidRDefault="001F3615" w:rsidP="00EA0EE8">
            <w:pPr>
              <w:rPr>
                <w:b/>
              </w:rPr>
            </w:pPr>
            <w:r>
              <w:rPr>
                <w:b/>
              </w:rPr>
              <w:t xml:space="preserve">Upper Phase </w:t>
            </w:r>
          </w:p>
          <w:p w:rsidR="00607AC5" w:rsidRDefault="00EB4034" w:rsidP="00607AC5">
            <w:r>
              <w:t>Raising the challenge in humanities lesson (</w:t>
            </w:r>
            <w:r w:rsidR="000B7550">
              <w:t xml:space="preserve">Use of </w:t>
            </w:r>
            <w:r>
              <w:t xml:space="preserve">Mary Myatt Training and Resources) </w:t>
            </w:r>
          </w:p>
          <w:p w:rsidR="00525FC5" w:rsidRPr="00CA68CB" w:rsidRDefault="00525FC5" w:rsidP="00EA0EE8"/>
        </w:tc>
      </w:tr>
      <w:tr w:rsidR="0041279E" w:rsidTr="0041279E">
        <w:tc>
          <w:tcPr>
            <w:tcW w:w="3006" w:type="dxa"/>
          </w:tcPr>
          <w:p w:rsidR="0041279E" w:rsidRPr="004D4422" w:rsidRDefault="0041279E" w:rsidP="0041279E">
            <w:pPr>
              <w:rPr>
                <w:b/>
              </w:rPr>
            </w:pPr>
            <w:r w:rsidRPr="004D4422">
              <w:rPr>
                <w:b/>
              </w:rPr>
              <w:t xml:space="preserve">Whole School </w:t>
            </w:r>
          </w:p>
          <w:p w:rsidR="0041279E" w:rsidRDefault="0041279E" w:rsidP="00FE6DF6"/>
          <w:p w:rsidR="003B1B69" w:rsidRDefault="00EB4034" w:rsidP="003B1B69">
            <w:r>
              <w:t xml:space="preserve">Have in place progression documents and effective planning for all teaching in History and Geography.  </w:t>
            </w:r>
            <w:r w:rsidR="000B7550">
              <w:t xml:space="preserve">Check alignment to these plans through effective monitoring by curriculum lead.  </w:t>
            </w:r>
            <w:bookmarkStart w:id="0" w:name="_GoBack"/>
            <w:bookmarkEnd w:id="0"/>
          </w:p>
        </w:tc>
      </w:tr>
    </w:tbl>
    <w:p w:rsidR="00A301CF" w:rsidRDefault="00A301CF"/>
    <w:p w:rsidR="00497303" w:rsidRDefault="00497303"/>
    <w:sectPr w:rsidR="00497303" w:rsidSect="00A301CF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4DC"/>
    <w:multiLevelType w:val="hybridMultilevel"/>
    <w:tmpl w:val="C1AC8B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694"/>
    <w:multiLevelType w:val="hybridMultilevel"/>
    <w:tmpl w:val="7D00EFBA"/>
    <w:lvl w:ilvl="0" w:tplc="5AA86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C7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86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A6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C7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1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89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8F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DD6DAB"/>
    <w:multiLevelType w:val="hybridMultilevel"/>
    <w:tmpl w:val="A448E4F4"/>
    <w:lvl w:ilvl="0" w:tplc="40EC2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665E"/>
    <w:multiLevelType w:val="hybridMultilevel"/>
    <w:tmpl w:val="C67E79BC"/>
    <w:lvl w:ilvl="0" w:tplc="C28AE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4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0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22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4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0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E9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AE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74E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5822BE"/>
    <w:multiLevelType w:val="hybridMultilevel"/>
    <w:tmpl w:val="06DCA85C"/>
    <w:lvl w:ilvl="0" w:tplc="54906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69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C0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84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A2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D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B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A7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CC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855B93"/>
    <w:multiLevelType w:val="hybridMultilevel"/>
    <w:tmpl w:val="CA24679C"/>
    <w:lvl w:ilvl="0" w:tplc="5B428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C3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28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65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5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81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22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C9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4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F"/>
    <w:rsid w:val="00015C16"/>
    <w:rsid w:val="00077646"/>
    <w:rsid w:val="000A25AA"/>
    <w:rsid w:val="000B7550"/>
    <w:rsid w:val="000E348B"/>
    <w:rsid w:val="000F693D"/>
    <w:rsid w:val="001001E2"/>
    <w:rsid w:val="001832DA"/>
    <w:rsid w:val="001E5EEC"/>
    <w:rsid w:val="001F3615"/>
    <w:rsid w:val="00277B81"/>
    <w:rsid w:val="002B060E"/>
    <w:rsid w:val="002D6AA7"/>
    <w:rsid w:val="002E356A"/>
    <w:rsid w:val="00396D07"/>
    <w:rsid w:val="003A72C8"/>
    <w:rsid w:val="003B1B69"/>
    <w:rsid w:val="003C2190"/>
    <w:rsid w:val="004017A3"/>
    <w:rsid w:val="0041279E"/>
    <w:rsid w:val="00497303"/>
    <w:rsid w:val="004C6F73"/>
    <w:rsid w:val="004D4422"/>
    <w:rsid w:val="005200FF"/>
    <w:rsid w:val="00525FC5"/>
    <w:rsid w:val="00586BB8"/>
    <w:rsid w:val="005939D4"/>
    <w:rsid w:val="00595629"/>
    <w:rsid w:val="005A220A"/>
    <w:rsid w:val="00607AC5"/>
    <w:rsid w:val="006226EC"/>
    <w:rsid w:val="006B22BC"/>
    <w:rsid w:val="0078726E"/>
    <w:rsid w:val="00854B87"/>
    <w:rsid w:val="008C1BAE"/>
    <w:rsid w:val="009A24D4"/>
    <w:rsid w:val="009C1B30"/>
    <w:rsid w:val="009E6E79"/>
    <w:rsid w:val="00A301CF"/>
    <w:rsid w:val="00A41C9F"/>
    <w:rsid w:val="00A5031B"/>
    <w:rsid w:val="00A50E70"/>
    <w:rsid w:val="00B714B2"/>
    <w:rsid w:val="00BC6641"/>
    <w:rsid w:val="00C20210"/>
    <w:rsid w:val="00C74EFF"/>
    <w:rsid w:val="00CA68CB"/>
    <w:rsid w:val="00CB6F7A"/>
    <w:rsid w:val="00D32B31"/>
    <w:rsid w:val="00D44F42"/>
    <w:rsid w:val="00D732D8"/>
    <w:rsid w:val="00DE1009"/>
    <w:rsid w:val="00DE5340"/>
    <w:rsid w:val="00E168FC"/>
    <w:rsid w:val="00E655A5"/>
    <w:rsid w:val="00E96112"/>
    <w:rsid w:val="00EA0EE8"/>
    <w:rsid w:val="00EB4034"/>
    <w:rsid w:val="00EB6734"/>
    <w:rsid w:val="00FE6DF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7210"/>
  <w15:chartTrackingRefBased/>
  <w15:docId w15:val="{1BCCE348-3041-4EC5-A2FB-CDB89EF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CF"/>
    <w:pPr>
      <w:ind w:left="720"/>
      <w:contextualSpacing/>
    </w:pPr>
  </w:style>
  <w:style w:type="table" w:styleId="TableGrid">
    <w:name w:val="Table Grid"/>
    <w:basedOn w:val="TableNormal"/>
    <w:uiPriority w:val="39"/>
    <w:rsid w:val="00A3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7135-91C2-40CE-A03F-C897C8E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Hopper</dc:creator>
  <cp:keywords/>
  <dc:description/>
  <cp:lastModifiedBy>Abigail Hopper</cp:lastModifiedBy>
  <cp:revision>6</cp:revision>
  <dcterms:created xsi:type="dcterms:W3CDTF">2022-02-03T11:26:00Z</dcterms:created>
  <dcterms:modified xsi:type="dcterms:W3CDTF">2022-03-23T10:27:00Z</dcterms:modified>
</cp:coreProperties>
</file>